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</w:rPr>
      </w:pPr>
      <w:r w:rsidRPr="005A1DA1">
        <w:rPr>
          <w:rFonts w:ascii="Times New Roman" w:eastAsia="Times New Roman" w:hAnsi="Times New Roman"/>
          <w:i/>
          <w:iCs/>
          <w:u w:val="single"/>
        </w:rPr>
        <w:t>14. melléklet a 4</w:t>
      </w:r>
      <w:bookmarkStart w:id="0" w:name="foot_29_place"/>
      <w:r w:rsidRPr="005A1DA1">
        <w:rPr>
          <w:rFonts w:ascii="Times New Roman" w:eastAsia="Times New Roman" w:hAnsi="Times New Roman"/>
          <w:i/>
          <w:iCs/>
          <w:u w:val="single"/>
        </w:rPr>
        <w:t xml:space="preserve">4/2015. (XI. 2.) </w:t>
      </w:r>
      <w:proofErr w:type="spellStart"/>
      <w:r w:rsidRPr="005A1DA1">
        <w:rPr>
          <w:rFonts w:ascii="Times New Roman" w:eastAsia="Times New Roman" w:hAnsi="Times New Roman"/>
          <w:i/>
          <w:iCs/>
          <w:u w:val="single"/>
        </w:rPr>
        <w:t>MvM</w:t>
      </w:r>
      <w:proofErr w:type="spellEnd"/>
      <w:r w:rsidRPr="005A1DA1">
        <w:rPr>
          <w:rFonts w:ascii="Times New Roman" w:eastAsia="Times New Roman" w:hAnsi="Times New Roman"/>
          <w:i/>
          <w:iCs/>
          <w:u w:val="single"/>
        </w:rPr>
        <w:t xml:space="preserve"> rendelethe</w:t>
      </w:r>
      <w:bookmarkEnd w:id="0"/>
      <w:r w:rsidRPr="005A1DA1">
        <w:rPr>
          <w:rFonts w:ascii="Times New Roman" w:eastAsia="Times New Roman" w:hAnsi="Times New Roman"/>
          <w:i/>
          <w:iCs/>
          <w:u w:val="single"/>
        </w:rPr>
        <w:t>z</w:t>
      </w:r>
    </w:p>
    <w:p w:rsidR="008B5E26" w:rsidRPr="005A1DA1" w:rsidRDefault="008B5E26" w:rsidP="008B5E26">
      <w:pPr>
        <w:spacing w:before="120" w:after="120"/>
        <w:jc w:val="right"/>
        <w:rPr>
          <w:rFonts w:ascii="Times New Roman" w:eastAsia="Times New Roman" w:hAnsi="Times New Roman"/>
        </w:rPr>
      </w:pPr>
      <w:bookmarkStart w:id="1" w:name="_GoBack"/>
      <w:bookmarkEnd w:id="1"/>
      <w:r w:rsidRPr="005A1DA1">
        <w:rPr>
          <w:rFonts w:ascii="Times New Roman" w:eastAsia="Times New Roman" w:hAnsi="Times New Roman"/>
          <w:b/>
          <w:bCs/>
          <w:sz w:val="40"/>
          <w:szCs w:val="40"/>
        </w:rPr>
        <w:t>Összegezés az ajánlatok elbírálásáról</w:t>
      </w:r>
    </w:p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5A1DA1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</w:rPr>
      </w:pPr>
      <w:r w:rsidRPr="005A1DA1">
        <w:rPr>
          <w:rFonts w:ascii="Times New Roman" w:eastAsia="Times New Roman" w:hAnsi="Times New Roman"/>
          <w:b/>
          <w:bCs/>
        </w:rPr>
        <w:t xml:space="preserve">I.1) Név és címek </w:t>
      </w:r>
      <w:r w:rsidRPr="005A1DA1">
        <w:rPr>
          <w:rFonts w:ascii="Times New Roman" w:eastAsia="Times New Roman" w:hAnsi="Times New Roman"/>
          <w:vertAlign w:val="superscript"/>
        </w:rPr>
        <w:t>1</w:t>
      </w:r>
      <w:r w:rsidRPr="005A1DA1">
        <w:rPr>
          <w:rFonts w:ascii="Times New Roman" w:eastAsia="Times New Roman" w:hAnsi="Times New Roman"/>
        </w:rPr>
        <w:t xml:space="preserve"> </w:t>
      </w:r>
      <w:r w:rsidRPr="005A1DA1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981"/>
      </w:tblGrid>
      <w:tr w:rsidR="008B5E26" w:rsidRPr="005A1DA1" w:rsidTr="008B5E26">
        <w:tc>
          <w:tcPr>
            <w:tcW w:w="9654" w:type="dxa"/>
            <w:gridSpan w:val="2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</w:p>
        </w:tc>
      </w:tr>
      <w:tr w:rsidR="008B5E26" w:rsidRPr="005A1DA1" w:rsidTr="008B5E26">
        <w:tc>
          <w:tcPr>
            <w:tcW w:w="9654" w:type="dxa"/>
            <w:gridSpan w:val="2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</w:p>
        </w:tc>
      </w:tr>
      <w:tr w:rsidR="008B5E26" w:rsidRPr="005A1DA1" w:rsidTr="0025720F">
        <w:tc>
          <w:tcPr>
            <w:tcW w:w="4673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</w:p>
        </w:tc>
        <w:tc>
          <w:tcPr>
            <w:tcW w:w="4981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</w:tr>
    </w:tbl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  <w:sz w:val="32"/>
          <w:szCs w:val="32"/>
        </w:rPr>
      </w:pPr>
      <w:r w:rsidRPr="005A1DA1">
        <w:rPr>
          <w:rFonts w:ascii="Times New Roman" w:eastAsia="Times New Roman" w:hAnsi="Times New Roman"/>
          <w:b/>
          <w:bCs/>
          <w:sz w:val="32"/>
          <w:szCs w:val="32"/>
        </w:rPr>
        <w:t>II. szakasz: Tárgy</w:t>
      </w:r>
    </w:p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</w:rPr>
      </w:pPr>
      <w:r w:rsidRPr="005A1DA1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II.1.1) A közbeszerzés tárgya: </w:t>
            </w:r>
          </w:p>
        </w:tc>
      </w:tr>
    </w:tbl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</w:rPr>
      </w:pPr>
      <w:r w:rsidRPr="005A1DA1">
        <w:rPr>
          <w:rFonts w:ascii="Times New Roman" w:eastAsia="Times New Roman" w:hAnsi="Times New Roman"/>
          <w:b/>
          <w:bCs/>
        </w:rPr>
        <w:t>II.2) A közbeszerzés mennyisége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II.2.1) A közbeszerzés mennyisége: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5A1DA1">
        <w:rPr>
          <w:rFonts w:ascii="Times New Roman" w:eastAsia="Times New Roman" w:hAnsi="Times New Roman"/>
          <w:b/>
          <w:bCs/>
          <w:sz w:val="28"/>
          <w:szCs w:val="28"/>
        </w:rPr>
        <w:t>IV. szakasz: Eljárás</w:t>
      </w:r>
    </w:p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</w:rPr>
      </w:pPr>
      <w:r w:rsidRPr="005A1DA1">
        <w:rPr>
          <w:rFonts w:ascii="Times New Roman" w:eastAsia="Times New Roman" w:hAnsi="Times New Roman"/>
          <w:b/>
          <w:bCs/>
        </w:rPr>
        <w:t>IV.1)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IV.1.1) A Kbt. mely része, illetve fejezete szerinti eljárás került alkalmazásra: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IV.1.2) Az eljárás fajtája: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IV.1.3) Tárgyalásos eljárás vagy versenypárbeszéd esetén az eljárás alkalmazását megalapozó körülmények ismertetése: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IV.1.4) Hirdetmény nélküli tárgyalásos eljárás esetén az eljárás alkalmazását megalapozó körülmények ismertetése:</w:t>
            </w:r>
          </w:p>
        </w:tc>
      </w:tr>
    </w:tbl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</w:rPr>
      </w:pPr>
      <w:r w:rsidRPr="005A1DA1">
        <w:rPr>
          <w:rFonts w:ascii="Times New Roman" w:eastAsia="Times New Roman" w:hAnsi="Times New Roman"/>
          <w:b/>
          <w:bCs/>
        </w:rPr>
        <w:t>IV.2) Adminisztratív információk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IV.2.1) Az adott eljárásra vonatkozó közzététel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A hirdetmény száma a Hivatalos Lapban: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]/S [ ][ ][ ]–[ ][ ][ ][ ][ ][ ][ ]</w:t>
            </w:r>
          </w:p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A hirdetmény száma a Közbeszerzési Értesítőben: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][ ]/[ ][ ][ ][ ] </w:t>
            </w:r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(KÉ-szám/évszám)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IV.2.2) Hirdetmény közzététele nélkül induló eljárás esetén az eljárást megindító felhívás megküldésének, illetőleg a Közbeszerzési Hatóság tájékoztatásának napja: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IV.2.3) Az előzetes piaci konzultációk eredményének ismertetése érdekében tett intézkedések ismertetése: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IV.2.4) Elektronikustól eltérő kommunikációs eszközök alkalmazásának indoka:</w:t>
            </w: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Közbeszerzési dokumentumok elektronikustól eltérő módon történő rendelkezésre bocsátásának indoka:</w:t>
            </w:r>
          </w:p>
        </w:tc>
      </w:tr>
    </w:tbl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5A1DA1">
        <w:rPr>
          <w:rFonts w:ascii="Times New Roman" w:eastAsia="Times New Roman" w:hAnsi="Times New Roman"/>
          <w:b/>
          <w:bCs/>
          <w:sz w:val="28"/>
          <w:szCs w:val="28"/>
        </w:rPr>
        <w:t>V. szakasz: Az eljárás eredménye</w:t>
      </w:r>
      <w:r w:rsidRPr="005A1DA1">
        <w:rPr>
          <w:rFonts w:ascii="Times New Roman" w:eastAsia="Times New Roman" w:hAnsi="Times New Roman"/>
          <w:sz w:val="28"/>
          <w:szCs w:val="28"/>
          <w:vertAlign w:val="superscript"/>
        </w:rPr>
        <w:t xml:space="preserve"> 1</w:t>
      </w:r>
    </w:p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</w:rPr>
      </w:pPr>
      <w:r w:rsidRPr="005A1DA1">
        <w:rPr>
          <w:rFonts w:ascii="Times New Roman" w:eastAsia="Times New Roman" w:hAnsi="Times New Roman"/>
          <w:b/>
          <w:bCs/>
        </w:rPr>
        <w:t>A szerződés száma:</w:t>
      </w:r>
      <w:r w:rsidRPr="005A1DA1">
        <w:rPr>
          <w:rFonts w:ascii="Times New Roman" w:eastAsia="Times New Roman" w:hAnsi="Times New Roman"/>
        </w:rPr>
        <w:t xml:space="preserve"> [ ] </w:t>
      </w:r>
      <w:r w:rsidRPr="005A1DA1">
        <w:rPr>
          <w:rFonts w:ascii="Times New Roman" w:eastAsia="Times New Roman" w:hAnsi="Times New Roman"/>
          <w:b/>
          <w:bCs/>
        </w:rPr>
        <w:t>Rész száma:</w:t>
      </w:r>
      <w:r w:rsidRPr="005A1DA1">
        <w:rPr>
          <w:rFonts w:ascii="Times New Roman" w:eastAsia="Times New Roman" w:hAnsi="Times New Roman"/>
        </w:rPr>
        <w:t xml:space="preserve"> </w:t>
      </w:r>
      <w:r w:rsidRPr="005A1DA1">
        <w:rPr>
          <w:rFonts w:ascii="Times New Roman" w:eastAsia="Times New Roman" w:hAnsi="Times New Roman"/>
          <w:vertAlign w:val="superscript"/>
        </w:rPr>
        <w:t>2</w:t>
      </w:r>
      <w:r w:rsidRPr="005A1DA1">
        <w:rPr>
          <w:rFonts w:ascii="Times New Roman" w:eastAsia="Times New Roman" w:hAnsi="Times New Roman"/>
        </w:rPr>
        <w:t xml:space="preserve"> [ ] </w:t>
      </w:r>
      <w:r w:rsidRPr="005A1DA1">
        <w:rPr>
          <w:rFonts w:ascii="Times New Roman" w:eastAsia="Times New Roman" w:hAnsi="Times New Roman"/>
          <w:b/>
          <w:bCs/>
        </w:rPr>
        <w:t>Elnevezés:</w:t>
      </w:r>
    </w:p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5A1DA1">
        <w:rPr>
          <w:rFonts w:ascii="Times New Roman" w:eastAsia="Times New Roman" w:hAnsi="Times New Roman"/>
          <w:sz w:val="18"/>
          <w:szCs w:val="18"/>
        </w:rPr>
        <w:t xml:space="preserve">Az eljárás eredményes volt </w:t>
      </w:r>
      <w:r w:rsidRPr="005A1DA1">
        <w:rPr>
          <w:rFonts w:ascii="Wingdings" w:eastAsia="Times New Roman" w:hAnsi="Wingdings"/>
          <w:sz w:val="18"/>
          <w:szCs w:val="18"/>
        </w:rPr>
        <w:t></w:t>
      </w:r>
      <w:r w:rsidRPr="005A1DA1">
        <w:rPr>
          <w:rFonts w:ascii="Times New Roman" w:eastAsia="Times New Roman" w:hAnsi="Times New Roman"/>
          <w:sz w:val="18"/>
          <w:szCs w:val="18"/>
        </w:rPr>
        <w:t xml:space="preserve"> igen </w:t>
      </w:r>
      <w:r w:rsidRPr="005A1DA1">
        <w:rPr>
          <w:rFonts w:ascii="Wingdings" w:eastAsia="Times New Roman" w:hAnsi="Wingdings"/>
          <w:sz w:val="18"/>
          <w:szCs w:val="18"/>
        </w:rPr>
        <w:t></w:t>
      </w:r>
      <w:r w:rsidRPr="005A1DA1">
        <w:rPr>
          <w:rFonts w:ascii="Times New Roman" w:eastAsia="Times New Roman" w:hAnsi="Times New Roman"/>
          <w:sz w:val="18"/>
          <w:szCs w:val="18"/>
        </w:rPr>
        <w:t xml:space="preserve"> nem</w:t>
      </w:r>
    </w:p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</w:rPr>
      </w:pPr>
      <w:r w:rsidRPr="005A1DA1">
        <w:rPr>
          <w:rFonts w:ascii="Times New Roman" w:eastAsia="Times New Roman" w:hAnsi="Times New Roman"/>
          <w:b/>
          <w:bCs/>
        </w:rPr>
        <w:t xml:space="preserve">V.1 Eredménytelen eljárással kapcsolatos információ </w:t>
      </w:r>
      <w:r w:rsidRPr="005A1DA1">
        <w:rPr>
          <w:rFonts w:ascii="Times New Roman" w:eastAsia="Times New Roman" w:hAnsi="Times New Roman"/>
          <w:vertAlign w:val="superscript"/>
        </w:rPr>
        <w:t>2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V.1.1) A befejezetlen eljárás oka</w:t>
            </w:r>
          </w:p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A közbeszerzési eljárást eredménytelennek minősítették.</w:t>
            </w:r>
          </w:p>
          <w:p w:rsidR="008B5E26" w:rsidRPr="005A1DA1" w:rsidRDefault="008B5E26" w:rsidP="008B5E26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Az eredménytelenség indoka: </w:t>
            </w:r>
          </w:p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A szerződés megkötését megtagadták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V.1.2) A befejezetlen eljárást követően indul-e új eljárás </w:t>
            </w:r>
            <w:r w:rsidRPr="005A1DA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5A1DA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V.1.3) Az érvényes ajánlatot tevők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Ajánlattevők neve és címe alkalmasságuk indokolása és ajánlatuknak az értékelési szempont szerinti tartalmi eleme(i):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V.1.4) Az érvénytelen ajánlatot tevők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Az érvénytelen ajánlatot tevők neve, címe és az érvénytelenség indoka: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V.1.5) Az összeférhetetlenségi helyzet elhárítása érdekében az ajánlattevő(k) által tett intézkedések ismertetése: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</w:rPr>
      </w:pPr>
      <w:r w:rsidRPr="005A1DA1">
        <w:rPr>
          <w:rFonts w:ascii="Times New Roman" w:eastAsia="Times New Roman" w:hAnsi="Times New Roman"/>
          <w:b/>
          <w:bCs/>
        </w:rPr>
        <w:t xml:space="preserve">V.2 Az eljárás eredménye </w:t>
      </w:r>
      <w:r w:rsidRPr="005A1DA1">
        <w:rPr>
          <w:rFonts w:ascii="Times New Roman" w:eastAsia="Times New Roman" w:hAnsi="Times New Roman"/>
          <w:vertAlign w:val="superscript"/>
        </w:rPr>
        <w:t>2</w:t>
      </w:r>
    </w:p>
    <w:tbl>
      <w:tblPr>
        <w:tblW w:w="96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"/>
        <w:gridCol w:w="1495"/>
        <w:gridCol w:w="1735"/>
        <w:gridCol w:w="1085"/>
        <w:gridCol w:w="1048"/>
        <w:gridCol w:w="1085"/>
        <w:gridCol w:w="1048"/>
        <w:gridCol w:w="1085"/>
        <w:gridCol w:w="982"/>
      </w:tblGrid>
      <w:tr w:rsidR="008B5E26" w:rsidRPr="005A1DA1" w:rsidTr="008B5E26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V.2.1) Ajánlatokra vonatkozó információk</w:t>
            </w:r>
          </w:p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A beérkezett ajánlatok száma: [ ]</w:t>
            </w:r>
          </w:p>
        </w:tc>
      </w:tr>
      <w:tr w:rsidR="008B5E26" w:rsidRPr="005A1DA1" w:rsidTr="008B5E26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V.2.2) Az érvényes ajánlatot tevők</w:t>
            </w:r>
          </w:p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Ajánlattevők neve, címe és adószáma, alkalmasságuk indokolása és ajánlatuknak az értékelési szempont szerinti tartalmi eleme(i):</w:t>
            </w:r>
          </w:p>
        </w:tc>
      </w:tr>
      <w:tr w:rsidR="008B5E26" w:rsidRPr="005A1DA1" w:rsidTr="008B5E26">
        <w:tc>
          <w:tcPr>
            <w:tcW w:w="96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V.2.3) Az ajánlatok értékelése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(Az alábbi táblázatban adja meg. A táblázatnak az ajánlattevő neve alatti osztott oszlop bal oldalára az adott ajánlatnak az adott részszempont szerinti tartalmi elemeire adott értékelési pontszámot, jobb oldalára pedig az értékelési pontszámnak a súlyszámmal kialakított szorzatát kell beírni.)</w:t>
            </w:r>
          </w:p>
        </w:tc>
      </w:tr>
      <w:tr w:rsidR="008B5E26" w:rsidRPr="005A1DA1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</w:rPr>
            </w:pPr>
            <w:r w:rsidRPr="005A1DA1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9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</w:rPr>
            </w:pPr>
            <w:r w:rsidRPr="005A1DA1">
              <w:rPr>
                <w:rFonts w:ascii="Times New Roman" w:eastAsia="Times New Roman" w:hAnsi="Times New Roman"/>
              </w:rPr>
              <w:t> </w:t>
            </w:r>
          </w:p>
        </w:tc>
      </w:tr>
      <w:tr w:rsidR="008B5E26" w:rsidRPr="005A1DA1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ind w:left="100" w:righ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Az ajánlattevő neve: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ind w:left="100" w:righ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Az ajánlattevő neve: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ind w:left="100" w:righ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Az ajánlattevő neve:</w:t>
            </w:r>
          </w:p>
        </w:tc>
      </w:tr>
      <w:tr w:rsidR="004D70A7" w:rsidRPr="005A1DA1" w:rsidTr="00EA52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8B5E26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Az értékelés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részszempontjai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D70A7" w:rsidRPr="005A1DA1" w:rsidRDefault="004D70A7" w:rsidP="008B5E26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(adott esetben alszempontjai 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8B5E26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A részszempontok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súlyszámai</w:t>
            </w:r>
          </w:p>
          <w:p w:rsidR="004D70A7" w:rsidRPr="005A1DA1" w:rsidRDefault="004D70A7" w:rsidP="008B5E26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 xml:space="preserve">(adott esetben az alszempontok súlyszámai is)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4D70A7">
            <w:pPr>
              <w:spacing w:before="120" w:after="120"/>
              <w:ind w:left="100" w:righ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Értékelési pontszám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4D70A7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 xml:space="preserve">Értékelési pontszám és </w:t>
            </w: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súlyszám </w:t>
            </w: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br/>
              <w:t>szorzata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4D70A7">
            <w:pPr>
              <w:spacing w:before="120" w:after="120"/>
              <w:ind w:left="100" w:righ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Értékelési pontszám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4D70A7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 xml:space="preserve">Értékelési pontszám és </w:t>
            </w: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súlyszám </w:t>
            </w: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br/>
              <w:t>szorzata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4D70A7">
            <w:pPr>
              <w:spacing w:before="120" w:after="120"/>
              <w:ind w:left="100" w:righ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Értékelési pontszám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4D70A7">
            <w:pPr>
              <w:spacing w:before="120" w:after="120"/>
              <w:ind w:left="10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 xml:space="preserve">Értékelési pontszám és </w:t>
            </w: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súlyszám </w:t>
            </w: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br/>
              <w:t>szorzata</w:t>
            </w:r>
          </w:p>
        </w:tc>
      </w:tr>
      <w:tr w:rsidR="004D70A7" w:rsidRPr="005A1DA1" w:rsidTr="00EA52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8B5E26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8B5E26">
            <w:pPr>
              <w:spacing w:before="120" w:after="12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8B5E26">
            <w:pPr>
              <w:spacing w:before="120" w:after="120"/>
              <w:ind w:left="100" w:right="10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8B5E26">
            <w:pPr>
              <w:spacing w:before="120" w:after="120"/>
              <w:ind w:left="10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8B5E26">
            <w:pPr>
              <w:spacing w:before="120" w:after="120"/>
              <w:ind w:left="100" w:right="10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8B5E26">
            <w:pPr>
              <w:spacing w:before="120" w:after="120"/>
              <w:ind w:left="10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8B5E26">
            <w:pPr>
              <w:spacing w:before="120" w:after="120"/>
              <w:ind w:left="100" w:right="10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D70A7" w:rsidRPr="005A1DA1" w:rsidRDefault="004D70A7" w:rsidP="008B5E26">
            <w:pPr>
              <w:spacing w:before="120" w:after="120"/>
              <w:ind w:left="10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5E26" w:rsidRPr="005A1DA1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5E26" w:rsidRPr="005A1DA1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5E26" w:rsidRPr="005A1DA1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5E26" w:rsidRPr="005A1DA1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5E26" w:rsidRPr="005A1DA1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5E26" w:rsidRPr="005A1DA1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5E26" w:rsidRPr="005A1DA1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5E26" w:rsidRPr="005A1DA1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5E26" w:rsidRPr="005A1DA1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5E26" w:rsidRPr="005A1DA1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5E26" w:rsidRPr="005A1DA1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ind w:left="80" w:right="10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A súlyszámmal szorzott</w:t>
            </w:r>
          </w:p>
          <w:p w:rsidR="008B5E26" w:rsidRPr="005A1DA1" w:rsidRDefault="008B5E26" w:rsidP="008B5E26">
            <w:pPr>
              <w:spacing w:before="120" w:after="120"/>
              <w:ind w:left="8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értékelési pontszámok</w:t>
            </w:r>
          </w:p>
          <w:p w:rsidR="008B5E26" w:rsidRPr="005A1DA1" w:rsidRDefault="008B5E26" w:rsidP="008B5E26">
            <w:pPr>
              <w:spacing w:before="120" w:after="120"/>
              <w:ind w:left="8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összegei</w:t>
            </w:r>
          </w:p>
          <w:p w:rsidR="008B5E26" w:rsidRPr="005A1DA1" w:rsidRDefault="008B5E26" w:rsidP="008B5E26">
            <w:pPr>
              <w:spacing w:before="120" w:after="120"/>
              <w:ind w:left="8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spellStart"/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ajánlattevőnként</w:t>
            </w:r>
            <w:proofErr w:type="spellEnd"/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B5E26" w:rsidRPr="005A1DA1" w:rsidTr="008B5E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E26" w:rsidRPr="005A1DA1" w:rsidRDefault="008B5E26" w:rsidP="008B5E26">
            <w:pPr>
              <w:spacing w:before="120" w:after="120"/>
              <w:ind w:left="80"/>
              <w:jc w:val="lef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A1DA1">
              <w:rPr>
                <w:rFonts w:ascii="Times New Roman" w:eastAsia="Times New Roman" w:hAnsi="Times New Roman"/>
                <w:sz w:val="16"/>
                <w:szCs w:val="16"/>
              </w:rPr>
              <w:t>Adott esetben a részszempontokra adott pontszám szöveges értékelése:</w:t>
            </w:r>
          </w:p>
        </w:tc>
      </w:tr>
    </w:tbl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  <w:vanish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V.2.4) Az ajánlatok értékelése során adható pontszám alsó és felső határa: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V.2.5) Az ajánlatok értékelése során módszernek (módszereknek) az ismertetése, amellyel az ajánlatkérő megadta az ajánlatok részszempontok szerinti tartalmi elemeinek értékelése során a ponthatárok közötti pontszámot: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4D70A7" w:rsidRPr="005A1DA1" w:rsidTr="004D70A7">
        <w:trPr>
          <w:trHeight w:val="560"/>
        </w:trPr>
        <w:tc>
          <w:tcPr>
            <w:tcW w:w="9654" w:type="dxa"/>
          </w:tcPr>
          <w:p w:rsidR="004D70A7" w:rsidRPr="004D70A7" w:rsidRDefault="004D70A7" w:rsidP="004D70A7">
            <w:pPr>
              <w:autoSpaceDE w:val="0"/>
              <w:autoSpaceDN w:val="0"/>
              <w:adjustRightInd w:val="0"/>
              <w:ind w:left="-21" w:right="56"/>
              <w:rPr>
                <w:rFonts w:ascii="Times New Roman" w:hAnsi="Times New Roman"/>
                <w:b/>
                <w:sz w:val="18"/>
                <w:szCs w:val="18"/>
                <w:highlight w:val="yellow"/>
                <w:u w:val="wave"/>
              </w:rPr>
            </w:pPr>
            <w:r w:rsidRPr="004D70A7">
              <w:rPr>
                <w:rFonts w:ascii="Times New Roman" w:hAnsi="Times New Roman"/>
                <w:b/>
                <w:sz w:val="18"/>
                <w:szCs w:val="18"/>
                <w:highlight w:val="yellow"/>
                <w:u w:val="wave"/>
              </w:rPr>
              <w:t>V.2.6) A Kbt. 69. § (5) bekezdése alapján figyelmen kívül hagyott ajánlat(ok):</w:t>
            </w:r>
          </w:p>
          <w:p w:rsidR="004D70A7" w:rsidRPr="004D70A7" w:rsidRDefault="004D70A7" w:rsidP="004D70A7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4D70A7">
              <w:rPr>
                <w:rFonts w:ascii="Times New Roman" w:hAnsi="Times New Roman"/>
                <w:sz w:val="18"/>
                <w:szCs w:val="18"/>
                <w:highlight w:val="yellow"/>
                <w:u w:val="wave"/>
              </w:rPr>
              <w:t>Az ajánlat(ok) figyelmen kívül hagyásának indoka: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</w:t>
            </w:r>
            <w:r w:rsidR="004D70A7" w:rsidRPr="004D70A7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yellow"/>
                <w:u w:val="wave"/>
              </w:rPr>
              <w:t>7</w:t>
            </w: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) A nyertes ajánlattevő neve, címe, adószáma, az ellenszolgáltatás összege és ajánlata kiválasztásának indokai: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</w:t>
            </w:r>
            <w:r w:rsidR="004D70A7" w:rsidRPr="004D70A7">
              <w:rPr>
                <w:rFonts w:ascii="Times New Roman" w:hAnsi="Times New Roman"/>
                <w:b/>
                <w:sz w:val="18"/>
                <w:szCs w:val="18"/>
                <w:highlight w:val="yellow"/>
                <w:u w:val="wave"/>
              </w:rPr>
              <w:t>8</w:t>
            </w: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) A nyertes ajánlatot követő legkedvezőbb ajánlatot tevő neve, címe, adószáma, az ellenszolgáltatás összege és ajánlata kiválasztásának indokai: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</w:t>
            </w:r>
            <w:r w:rsidR="004D70A7" w:rsidRPr="004D70A7">
              <w:rPr>
                <w:rFonts w:ascii="Times New Roman" w:hAnsi="Times New Roman"/>
                <w:b/>
                <w:sz w:val="18"/>
                <w:szCs w:val="18"/>
                <w:highlight w:val="yellow"/>
                <w:u w:val="wave"/>
              </w:rPr>
              <w:t>9</w:t>
            </w: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Alvállalkozó(k) </w:t>
            </w:r>
            <w:proofErr w:type="gramStart"/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igénybe vétele</w:t>
            </w:r>
            <w:proofErr w:type="gramEnd"/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2</w:t>
            </w: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A1DA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5A1DA1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A nyertes ajánlattevő ajánlatában a közbeszerzésnek az(ok) a része(i), amely(</w:t>
            </w:r>
            <w:proofErr w:type="spellStart"/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ek</w:t>
            </w:r>
            <w:proofErr w:type="spellEnd"/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proofErr w:type="spellStart"/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nek</w:t>
            </w:r>
            <w:proofErr w:type="spellEnd"/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teljesítéséhez az ajánlattevő alvállalkozót kíván igénybe venni: </w:t>
            </w:r>
          </w:p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A nyertes ajánlatot követő legkedvezőbb ajánlatot tevő ajánlatában a közbeszerzésnek az(ok) a része(i), amely(</w:t>
            </w:r>
            <w:proofErr w:type="spellStart"/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ek</w:t>
            </w:r>
            <w:proofErr w:type="spellEnd"/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)</w:t>
            </w:r>
            <w:proofErr w:type="spellStart"/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nek</w:t>
            </w:r>
            <w:proofErr w:type="spellEnd"/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teljesítéséhez az ajánlattevő alvállalkozót kíván igénybe venni: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</w:t>
            </w:r>
            <w:r w:rsidR="004D70A7" w:rsidRPr="004D70A7">
              <w:rPr>
                <w:rFonts w:ascii="Times New Roman" w:hAnsi="Times New Roman"/>
                <w:b/>
                <w:sz w:val="18"/>
                <w:szCs w:val="18"/>
                <w:highlight w:val="yellow"/>
                <w:u w:val="wave"/>
              </w:rPr>
              <w:t>10</w:t>
            </w: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Alvállalkozó(k) megnevezése, adószáma: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</w:t>
            </w:r>
            <w:r w:rsidRPr="004D70A7">
              <w:rPr>
                <w:rFonts w:ascii="Times New Roman" w:hAnsi="Times New Roman"/>
                <w:b/>
                <w:sz w:val="18"/>
                <w:szCs w:val="18"/>
                <w:highlight w:val="yellow"/>
                <w:u w:val="wave"/>
              </w:rPr>
              <w:t>1</w:t>
            </w:r>
            <w:r w:rsidR="004D70A7" w:rsidRPr="004D70A7">
              <w:rPr>
                <w:rFonts w:ascii="Times New Roman" w:hAnsi="Times New Roman"/>
                <w:b/>
                <w:sz w:val="18"/>
                <w:szCs w:val="18"/>
                <w:highlight w:val="yellow"/>
                <w:u w:val="wave"/>
              </w:rPr>
              <w:t>1</w:t>
            </w: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Az alkalmasság igazolásában részt vevő szervezetek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Az erőforrást nyújtó szervezet(ek)</w:t>
            </w:r>
            <w:r w:rsidRPr="005A1DA1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, adószáma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és az alkalmassági követelmény(ek) megjelölése, amely(ek) igazolása érdekében az ajánlattevő ezen szervezet(ek)re (is) támaszkodik a nyertes ajánlattevő ajánlatában:</w:t>
            </w:r>
          </w:p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>Az erőforrást nyújtó szervezet(ek),</w:t>
            </w:r>
            <w:r w:rsidRPr="005A1DA1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adószáma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és az alkalmassági követelmény(ek) megjelölése, amely(ek) igazolása érdekében az ajánlattevő ezen szervezet(ek)re (is) támaszkodik a nyertes ajánlatot követő legkedvezőbb ajánlatot tevő ajánlatában: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</w:t>
            </w:r>
            <w:r w:rsidRPr="004D70A7">
              <w:rPr>
                <w:rFonts w:ascii="Times New Roman" w:hAnsi="Times New Roman"/>
                <w:b/>
                <w:sz w:val="18"/>
                <w:szCs w:val="18"/>
                <w:highlight w:val="yellow"/>
                <w:u w:val="wave"/>
              </w:rPr>
              <w:t>1</w:t>
            </w:r>
            <w:r w:rsidR="004D70A7" w:rsidRPr="004D70A7">
              <w:rPr>
                <w:rFonts w:ascii="Times New Roman" w:hAnsi="Times New Roman"/>
                <w:b/>
                <w:sz w:val="18"/>
                <w:szCs w:val="18"/>
                <w:highlight w:val="yellow"/>
                <w:u w:val="wave"/>
              </w:rPr>
              <w:t>2</w:t>
            </w: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Az érvénytelen ajánlatot tevők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Az érvénytelen ajánlatot tevők neve, címe, </w:t>
            </w:r>
            <w:r w:rsidRPr="005A1DA1">
              <w:rPr>
                <w:rFonts w:ascii="Times New Roman" w:eastAsia="Times New Roman" w:hAnsi="Times New Roman"/>
                <w:bCs/>
                <w:sz w:val="18"/>
                <w:szCs w:val="18"/>
              </w:rPr>
              <w:t>adószáma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és az érvénytelenség indoka: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</w:t>
            </w:r>
            <w:r w:rsidRPr="004D70A7">
              <w:rPr>
                <w:rFonts w:ascii="Times New Roman" w:hAnsi="Times New Roman"/>
                <w:b/>
                <w:sz w:val="18"/>
                <w:szCs w:val="18"/>
                <w:highlight w:val="yellow"/>
                <w:u w:val="wave"/>
              </w:rPr>
              <w:t>1</w:t>
            </w:r>
            <w:r w:rsidR="004D70A7" w:rsidRPr="004D70A7">
              <w:rPr>
                <w:rFonts w:ascii="Times New Roman" w:hAnsi="Times New Roman"/>
                <w:b/>
                <w:sz w:val="18"/>
                <w:szCs w:val="18"/>
                <w:highlight w:val="yellow"/>
                <w:u w:val="wave"/>
              </w:rPr>
              <w:t>3</w:t>
            </w: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Az összeférhetetlenségi helyzet elhárítása érdekében az ajánlattevő(k) által tett intézkedések ismertetése: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5A1DA1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</w:p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</w:rPr>
      </w:pPr>
      <w:r w:rsidRPr="005A1DA1">
        <w:rPr>
          <w:rFonts w:ascii="Times New Roman" w:eastAsia="Times New Roman" w:hAnsi="Times New Roman"/>
          <w:b/>
          <w:bCs/>
        </w:rPr>
        <w:t xml:space="preserve">VI.1) További információk: </w:t>
      </w:r>
      <w:r w:rsidRPr="005A1DA1">
        <w:rPr>
          <w:rFonts w:ascii="Times New Roman" w:eastAsia="Times New Roman" w:hAnsi="Times New Roman"/>
          <w:vertAlign w:val="superscript"/>
        </w:rPr>
        <w:t>2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VI.1.1) A szerződéskötési moratórium időtartama</w:t>
            </w:r>
          </w:p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Kezdete: </w:t>
            </w:r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/ Lejárata: </w:t>
            </w:r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VI.1.2) Az összegezés elkészítésének időpontja: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VI.1.3) Az összegezés megküldésének időpontja: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VI.1.4) Az összegezés módosításának indoka: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VI.1.5) Az összegezés módosításának időpontja: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VI.1.6) A módosított összegezés megküldésének időpontja: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VI.1.7) Az összegezés javításának indoka: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VI.1.8) Az összegezés javításának időpontja:</w:t>
            </w:r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VI.1.9) A javított összegezés megküldésének időpontja: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2</w:t>
            </w:r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8B5E26" w:rsidRPr="005A1DA1" w:rsidTr="008B5E26">
        <w:tc>
          <w:tcPr>
            <w:tcW w:w="9654" w:type="dxa"/>
            <w:hideMark/>
          </w:tcPr>
          <w:p w:rsidR="008B5E26" w:rsidRPr="005A1DA1" w:rsidRDefault="008B5E26" w:rsidP="008B5E2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A1DA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VI.1.10) További információk:</w:t>
            </w:r>
            <w:r w:rsidRPr="005A1DA1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5A1DA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8B5E26" w:rsidRPr="005A1DA1" w:rsidRDefault="008B5E26" w:rsidP="008B5E26">
      <w:pPr>
        <w:spacing w:before="120" w:after="120"/>
        <w:jc w:val="center"/>
        <w:rPr>
          <w:rFonts w:ascii="Times New Roman" w:eastAsia="Times New Roman" w:hAnsi="Times New Roman"/>
        </w:rPr>
      </w:pPr>
      <w:r w:rsidRPr="005A1DA1">
        <w:rPr>
          <w:rFonts w:ascii="Times New Roman" w:eastAsia="Times New Roman" w:hAnsi="Times New Roman"/>
        </w:rPr>
        <w:t>______________________________________________________________________________</w:t>
      </w:r>
    </w:p>
    <w:p w:rsidR="008B5E26" w:rsidRPr="005A1DA1" w:rsidRDefault="008B5E26" w:rsidP="008B5E26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5A1DA1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5A1DA1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162E86" w:rsidRPr="008B5E26" w:rsidRDefault="008B5E26" w:rsidP="008B5E26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5A1DA1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5A1DA1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</w:p>
    <w:sectPr w:rsidR="00162E86" w:rsidRPr="008B5E26" w:rsidSect="008B5E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H Sans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E26"/>
    <w:rsid w:val="00002831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77C3"/>
    <w:rsid w:val="0025720F"/>
    <w:rsid w:val="002670BE"/>
    <w:rsid w:val="002D0689"/>
    <w:rsid w:val="00336A1A"/>
    <w:rsid w:val="00384EC1"/>
    <w:rsid w:val="00402483"/>
    <w:rsid w:val="004A7664"/>
    <w:rsid w:val="004C642A"/>
    <w:rsid w:val="004D70A7"/>
    <w:rsid w:val="00506BAF"/>
    <w:rsid w:val="00520044"/>
    <w:rsid w:val="005A1DA1"/>
    <w:rsid w:val="00630419"/>
    <w:rsid w:val="006512C7"/>
    <w:rsid w:val="006810A5"/>
    <w:rsid w:val="006F548E"/>
    <w:rsid w:val="00737F99"/>
    <w:rsid w:val="007B5DCE"/>
    <w:rsid w:val="007C3BEC"/>
    <w:rsid w:val="007D67BE"/>
    <w:rsid w:val="00874DDF"/>
    <w:rsid w:val="008B5E26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0306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7D92"/>
    <w:rsid w:val="00B3410C"/>
    <w:rsid w:val="00BF0B81"/>
    <w:rsid w:val="00C11EEB"/>
    <w:rsid w:val="00D9687F"/>
    <w:rsid w:val="00E43CD6"/>
    <w:rsid w:val="00E76054"/>
    <w:rsid w:val="00E856FD"/>
    <w:rsid w:val="00EB35D1"/>
    <w:rsid w:val="00EE3111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3D58"/>
  <w15:chartTrackingRefBased/>
  <w15:docId w15:val="{FA915FA8-6B4F-4AF2-8824-F5B7707F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B5E26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8B5E26"/>
    <w:rPr>
      <w:color w:val="0000FF"/>
      <w:u w:val="single"/>
    </w:rPr>
  </w:style>
  <w:style w:type="paragraph" w:customStyle="1" w:styleId="np">
    <w:name w:val="np"/>
    <w:basedOn w:val="Norml"/>
    <w:rsid w:val="008B5E26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795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Berethalmi András</dc:creator>
  <cp:keywords/>
  <dc:description/>
  <cp:lastModifiedBy>Berethalmi András</cp:lastModifiedBy>
  <cp:revision>4</cp:revision>
  <dcterms:created xsi:type="dcterms:W3CDTF">2019-03-29T08:38:00Z</dcterms:created>
  <dcterms:modified xsi:type="dcterms:W3CDTF">2019-03-29T08:49:00Z</dcterms:modified>
</cp:coreProperties>
</file>