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26D98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09"/>
      <w:bookmarkStart w:id="2" w:name="bookmark16"/>
      <w:r w:rsidRPr="00026D98">
        <w:rPr>
          <w:rStyle w:val="Cmsor3"/>
          <w:rFonts w:ascii="Times New Roman" w:hAnsi="Times New Roman" w:cs="Times New Roman"/>
          <w:bCs w:val="0"/>
          <w:sz w:val="28"/>
          <w:szCs w:val="28"/>
        </w:rPr>
        <w:t>T</w:t>
      </w:r>
      <w:r w:rsidR="00DF5088">
        <w:rPr>
          <w:rStyle w:val="Cmsor3"/>
          <w:rFonts w:ascii="Times New Roman" w:hAnsi="Times New Roman" w:cs="Times New Roman"/>
          <w:bCs w:val="0"/>
          <w:sz w:val="28"/>
          <w:szCs w:val="28"/>
        </w:rPr>
        <w:t>ájékoztató a t</w:t>
      </w:r>
      <w:r w:rsidRPr="00026D98"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ervpályázati </w:t>
      </w:r>
      <w:r w:rsidR="00DF5088">
        <w:rPr>
          <w:rStyle w:val="Cmsor3"/>
          <w:rFonts w:ascii="Times New Roman" w:hAnsi="Times New Roman" w:cs="Times New Roman"/>
          <w:bCs w:val="0"/>
          <w:sz w:val="28"/>
          <w:szCs w:val="28"/>
        </w:rPr>
        <w:t>eljá</w:t>
      </w:r>
      <w:r w:rsidRPr="00026D98">
        <w:rPr>
          <w:rStyle w:val="Cmsor3"/>
          <w:rFonts w:ascii="Times New Roman" w:hAnsi="Times New Roman" w:cs="Times New Roman"/>
          <w:bCs w:val="0"/>
          <w:sz w:val="28"/>
          <w:szCs w:val="28"/>
        </w:rPr>
        <w:t>r</w:t>
      </w:r>
      <w:bookmarkEnd w:id="1"/>
      <w:r w:rsidR="007415BD" w:rsidRPr="007415BD">
        <w:rPr>
          <w:rStyle w:val="Cmsor3"/>
          <w:rFonts w:ascii="Times New Roman" w:hAnsi="Times New Roman" w:cs="Times New Roman"/>
          <w:bCs w:val="0"/>
          <w:sz w:val="28"/>
          <w:szCs w:val="28"/>
        </w:rPr>
        <w:t>ás</w:t>
      </w:r>
      <w:bookmarkEnd w:id="2"/>
      <w:r w:rsidR="00DF5088"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 eredményéről</w:t>
      </w:r>
    </w:p>
    <w:p w:rsidR="000B3051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ascii="MS Mincho" w:eastAsia="MS Mincho" w:hAnsi="MS Mincho" w:cs="MS Mincho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  <w:r w:rsidR="00026D98">
        <w:rPr>
          <w:rFonts w:eastAsia="MyriadPro-Light"/>
          <w:sz w:val="18"/>
          <w:szCs w:val="18"/>
          <w:lang w:eastAsia="hu-HU"/>
        </w:rPr>
        <w:t xml:space="preserve"> </w:t>
      </w:r>
      <w:r w:rsidR="00026D98"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026D98" w:rsidRPr="00E8260C" w:rsidRDefault="00026D98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380BD2"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DB211A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5F4540">
              <w:rPr>
                <w:rFonts w:eastAsia="MyriadPro-Light"/>
                <w:sz w:val="18"/>
                <w:szCs w:val="18"/>
                <w:lang w:eastAsia="hu-HU"/>
              </w:rPr>
              <w:t>verseny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DB211A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5F4540">
              <w:rPr>
                <w:rFonts w:eastAsia="MyriadPro-Light"/>
                <w:sz w:val="18"/>
                <w:szCs w:val="18"/>
                <w:lang w:eastAsia="hu-HU"/>
              </w:rPr>
              <w:t>versenyt</w:t>
            </w:r>
            <w:r w:rsidR="005F454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központi beszerző szerv </w:t>
            </w:r>
            <w:r w:rsidR="005F4540" w:rsidRPr="00E8260C">
              <w:rPr>
                <w:rFonts w:eastAsia="MyriadPro-Light"/>
                <w:sz w:val="18"/>
                <w:szCs w:val="18"/>
                <w:lang w:eastAsia="hu-HU"/>
              </w:rPr>
              <w:t>szerv</w:t>
            </w:r>
            <w:r w:rsidR="005F4540">
              <w:rPr>
                <w:rFonts w:eastAsia="MyriadPro-Light"/>
                <w:sz w:val="18"/>
                <w:szCs w:val="18"/>
                <w:lang w:eastAsia="hu-HU"/>
              </w:rPr>
              <w:t>ezi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.</w:t>
            </w:r>
          </w:p>
        </w:tc>
      </w:tr>
    </w:tbl>
    <w:p w:rsidR="00162E86" w:rsidRPr="00E8260C" w:rsidRDefault="009F7648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  <w:r w:rsidR="00026D9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26D98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026D98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026D98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  <w:r w:rsidR="00026D9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26D98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026D98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026D98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026D98" w:rsidRPr="00E8260C" w:rsidRDefault="00026D98" w:rsidP="00026D98">
      <w:pPr>
        <w:rPr>
          <w:sz w:val="22"/>
          <w:szCs w:val="22"/>
          <w:lang w:eastAsia="hu-HU"/>
        </w:rPr>
      </w:pPr>
    </w:p>
    <w:p w:rsidR="00026D98" w:rsidRPr="00E8260C" w:rsidRDefault="00026D98" w:rsidP="00026D98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026D98" w:rsidRPr="00E8260C" w:rsidTr="007B4A28">
        <w:tc>
          <w:tcPr>
            <w:tcW w:w="4889" w:type="dxa"/>
          </w:tcPr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lastRenderedPageBreak/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026D98" w:rsidRPr="00026D98" w:rsidRDefault="00026D9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5F4540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Az eljárás fajtája</w:t>
            </w:r>
          </w:p>
          <w:p w:rsidR="00054C44" w:rsidRPr="00054C44" w:rsidRDefault="00054C44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93F73">
              <w:rPr>
                <w:rFonts w:eastAsia="MyriadPro-Light"/>
                <w:sz w:val="18"/>
                <w:szCs w:val="18"/>
                <w:lang w:eastAsia="hu-HU"/>
              </w:rPr>
              <w:t>◯</w:t>
            </w:r>
            <w:r w:rsidR="00026D98">
              <w:rPr>
                <w:rFonts w:eastAsia="MyriadPro-Light"/>
                <w:sz w:val="18"/>
                <w:szCs w:val="18"/>
                <w:lang w:eastAsia="hu-HU"/>
              </w:rPr>
              <w:t xml:space="preserve"> Nyílt</w:t>
            </w:r>
          </w:p>
          <w:p w:rsidR="00026D98" w:rsidRPr="00493F73" w:rsidRDefault="006360F1" w:rsidP="00493F7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93F73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90165F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</w:t>
            </w:r>
            <w:r w:rsidR="00026D98"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9</w:t>
            </w:r>
            <w:r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90165F" w:rsidRPr="0090165F">
              <w:rPr>
                <w:rFonts w:eastAsia="MyriadPro-Light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90165F" w:rsidRPr="0090165F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pályaművek értékelésének szempontjai:</w:t>
            </w:r>
          </w:p>
          <w:p w:rsidR="00AE1152" w:rsidRPr="0090165F" w:rsidRDefault="00AE1152" w:rsidP="00AE115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493F73" w:rsidRPr="00234BD1" w:rsidRDefault="00493F73" w:rsidP="00493F7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493F73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>Tervpályázati kiírás)</w:t>
            </w:r>
          </w:p>
          <w:p w:rsidR="006360F1" w:rsidRPr="00E8260C" w:rsidRDefault="00493F73" w:rsidP="00493F7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</w:tc>
      </w:tr>
    </w:tbl>
    <w:p w:rsidR="00E8260C" w:rsidRDefault="00E8260C" w:rsidP="0090165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493F73" w:rsidRPr="00234BD1" w:rsidRDefault="00493F73" w:rsidP="00493F73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</w:t>
      </w:r>
      <w:r w:rsidR="00527D40">
        <w:rPr>
          <w:rFonts w:eastAsia="MyriadPro-Semibold"/>
          <w:b/>
          <w:sz w:val="28"/>
          <w:szCs w:val="28"/>
          <w:lang w:eastAsia="hu-HU"/>
        </w:rPr>
        <w:t xml:space="preserve"> tervpályázati </w:t>
      </w:r>
      <w:r w:rsidRPr="00234BD1">
        <w:rPr>
          <w:rFonts w:eastAsia="MyriadPro-Semibold"/>
          <w:b/>
          <w:sz w:val="28"/>
          <w:szCs w:val="28"/>
          <w:lang w:eastAsia="hu-HU"/>
        </w:rPr>
        <w:t>eljárás eredménye</w:t>
      </w:r>
    </w:p>
    <w:p w:rsidR="00493F73" w:rsidRPr="00234BD1" w:rsidRDefault="00493F73" w:rsidP="00493F73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>
        <w:rPr>
          <w:rFonts w:eastAsia="MyriadPro-Semibold"/>
          <w:sz w:val="18"/>
          <w:szCs w:val="18"/>
          <w:lang w:eastAsia="hu-HU"/>
        </w:rPr>
        <w:lastRenderedPageBreak/>
        <w:t xml:space="preserve">A versenyt odaítélés és díjkiosztás nélkül </w:t>
      </w:r>
      <w:proofErr w:type="gramStart"/>
      <w:r>
        <w:rPr>
          <w:rFonts w:eastAsia="MyriadPro-Semibold"/>
          <w:sz w:val="18"/>
          <w:szCs w:val="18"/>
          <w:lang w:eastAsia="hu-HU"/>
        </w:rPr>
        <w:t xml:space="preserve">megszüntették   </w:t>
      </w:r>
      <w:r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Fonts w:eastAsia="HiraKakuPro-W3"/>
          <w:sz w:val="18"/>
          <w:szCs w:val="18"/>
          <w:lang w:eastAsia="hu-HU"/>
        </w:rPr>
        <w:t xml:space="preserve"> i</w:t>
      </w:r>
      <w:r w:rsidRPr="00234BD1">
        <w:rPr>
          <w:rFonts w:eastAsia="MyriadPro-Semibold"/>
          <w:sz w:val="18"/>
          <w:szCs w:val="18"/>
          <w:lang w:eastAsia="hu-HU"/>
        </w:rPr>
        <w:t>gen</w:t>
      </w:r>
      <w:proofErr w:type="gramEnd"/>
      <w:r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Fonts w:eastAsia="HiraKakuPro-W3"/>
          <w:sz w:val="18"/>
          <w:szCs w:val="18"/>
          <w:lang w:eastAsia="hu-HU"/>
        </w:rPr>
        <w:t xml:space="preserve">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493F73" w:rsidRPr="00234BD1" w:rsidRDefault="00493F73" w:rsidP="00493F73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493F73" w:rsidRPr="00234BD1" w:rsidTr="007B4A28">
        <w:tc>
          <w:tcPr>
            <w:tcW w:w="9778" w:type="dxa"/>
          </w:tcPr>
          <w:p w:rsidR="00493F73" w:rsidRPr="00234BD1" w:rsidRDefault="00493F73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 díj/díjak nem kerültek odaítélésre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</w:p>
          <w:p w:rsidR="00493F73" w:rsidRPr="00234BD1" w:rsidRDefault="00493F73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Nem érkezt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ek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be </w:t>
            </w:r>
            <w:r w:rsidR="00527D40">
              <w:rPr>
                <w:rFonts w:eastAsia="MyriadPro-Semibold"/>
                <w:sz w:val="18"/>
                <w:szCs w:val="18"/>
                <w:lang w:eastAsia="hu-HU"/>
              </w:rPr>
              <w:t xml:space="preserve">tervek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>és projektek, vagy az összes terv és projekt elutasításra került</w:t>
            </w:r>
          </w:p>
          <w:p w:rsidR="00493F73" w:rsidRPr="00234BD1" w:rsidRDefault="00493F73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Egyéb ok (a közbeszerzési eljárást eredménytelennek minősítették)</w:t>
            </w:r>
          </w:p>
          <w:p w:rsidR="00493F73" w:rsidRPr="00855651" w:rsidRDefault="00493F73" w:rsidP="007B4A28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Hirdetmény hivatkozási száma: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[ ][ ][ ]-[ ][ ][ ][ ][ ][ ]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493F73" w:rsidRPr="00234BD1" w:rsidRDefault="00493F73" w:rsidP="00493F73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493F73" w:rsidRPr="006C74F8" w:rsidRDefault="00493F73" w:rsidP="00493F73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4" w:name="bookmark36"/>
      <w:r w:rsidRPr="006C74F8">
        <w:rPr>
          <w:rFonts w:eastAsia="MyriadPro-Semibold"/>
          <w:b/>
          <w:sz w:val="22"/>
          <w:szCs w:val="22"/>
          <w:lang w:eastAsia="hu-HU"/>
        </w:rPr>
        <w:t>V.</w:t>
      </w:r>
      <w:r>
        <w:rPr>
          <w:rFonts w:eastAsia="MyriadPro-Semibold"/>
          <w:b/>
          <w:sz w:val="22"/>
          <w:szCs w:val="22"/>
          <w:lang w:eastAsia="hu-HU"/>
        </w:rPr>
        <w:t>3</w:t>
      </w:r>
      <w:r w:rsidRPr="006C74F8">
        <w:rPr>
          <w:rFonts w:eastAsia="MyriadPro-Semibold"/>
          <w:b/>
          <w:sz w:val="22"/>
          <w:szCs w:val="22"/>
          <w:lang w:eastAsia="hu-HU"/>
        </w:rPr>
        <w:t xml:space="preserve">) </w:t>
      </w:r>
      <w:bookmarkEnd w:id="4"/>
      <w:r>
        <w:rPr>
          <w:rFonts w:eastAsia="MyriadPro-Semibold"/>
          <w:b/>
          <w:sz w:val="22"/>
          <w:szCs w:val="22"/>
          <w:lang w:eastAsia="hu-HU"/>
        </w:rPr>
        <w:t>Odaítélés és díjak</w:t>
      </w:r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493F7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3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bírálóbizottság döntésének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</w:tr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5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3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.2)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I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nformációk</w:t>
            </w:r>
            <w:bookmarkEnd w:id="5"/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a résztvevőkről</w:t>
            </w:r>
          </w:p>
          <w:p w:rsidR="00493F73" w:rsidRPr="00234BD1" w:rsidRDefault="00493F73" w:rsidP="007B4A28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Résztvevők</w:t>
            </w:r>
            <w:r w:rsidRPr="00234BD1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493F73" w:rsidRPr="00493F73" w:rsidRDefault="00493F73" w:rsidP="007B4A28">
            <w:pPr>
              <w:spacing w:before="120" w:after="120"/>
              <w:rPr>
                <w:rStyle w:val="Tartalomjegyzk"/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Résztvevő </w:t>
            </w:r>
            <w:r w:rsidR="00B26A6A">
              <w:rPr>
                <w:rStyle w:val="Tartalomjegyzk"/>
                <w:rFonts w:ascii="Times New Roman" w:hAnsi="Times New Roman" w:cs="Times New Roman"/>
                <w:iCs/>
                <w:sz w:val="18"/>
                <w:szCs w:val="18"/>
              </w:rPr>
              <w:t>k</w:t>
            </w:r>
            <w:r w:rsidRPr="00493F73">
              <w:rPr>
                <w:rStyle w:val="Tartalomjegyzk"/>
                <w:rFonts w:ascii="Times New Roman" w:hAnsi="Times New Roman" w:cs="Times New Roman"/>
                <w:iCs/>
                <w:sz w:val="18"/>
                <w:szCs w:val="18"/>
              </w:rPr>
              <w:t>kv-k száma</w:t>
            </w:r>
            <w:r w:rsidRPr="00493F73">
              <w:rPr>
                <w:rStyle w:val="Tartalomjegyzk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gramStart"/>
            <w:r w:rsidRPr="00493F73">
              <w:rPr>
                <w:rStyle w:val="Tartalomjegyzk"/>
                <w:rFonts w:ascii="Times New Roman" w:hAnsi="Times New Roman" w:cs="Times New Roman"/>
                <w:iCs/>
                <w:sz w:val="18"/>
                <w:szCs w:val="18"/>
              </w:rPr>
              <w:t>[          ]</w:t>
            </w:r>
            <w:proofErr w:type="gramEnd"/>
            <w:r w:rsidRPr="00493F73">
              <w:rPr>
                <w:rStyle w:val="Tartalomjegyzk"/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93F73">
              <w:rPr>
                <w:rStyle w:val="Tartalomjegyzk"/>
                <w:rFonts w:ascii="Times New Roman" w:hAnsi="Times New Roman" w:cs="Times New Roman"/>
                <w:i/>
                <w:iCs/>
                <w:sz w:val="18"/>
                <w:szCs w:val="18"/>
              </w:rPr>
              <w:t>(kkv-a 2003/361/EK bizottsági ajánlásban meghatározottak szerint)</w:t>
            </w:r>
          </w:p>
          <w:p w:rsidR="00493F73" w:rsidRPr="00234BD1" w:rsidRDefault="00493F73" w:rsidP="007B4A28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Külföldi résztvevők</w:t>
            </w:r>
            <w:r w:rsidRPr="00234BD1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</w:tc>
      </w:tr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5878C9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3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.3)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tervpályázat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nyertes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ének/nyerteseinek </w:t>
            </w:r>
            <w:r w:rsidR="005878C9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(díjazott</w:t>
            </w:r>
            <w:r w:rsidR="00137F25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ak)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493F73" w:rsidRPr="00234BD1" w:rsidTr="007B4A28">
        <w:tc>
          <w:tcPr>
            <w:tcW w:w="7340" w:type="dxa"/>
            <w:gridSpan w:val="3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493F73" w:rsidRPr="00234BD1" w:rsidTr="007B4A28">
        <w:tc>
          <w:tcPr>
            <w:tcW w:w="2444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493F73" w:rsidRPr="00234BD1" w:rsidTr="007B4A28">
        <w:tc>
          <w:tcPr>
            <w:tcW w:w="7340" w:type="dxa"/>
            <w:gridSpan w:val="3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493F73" w:rsidRPr="00234BD1" w:rsidTr="007B4A28">
        <w:tc>
          <w:tcPr>
            <w:tcW w:w="7340" w:type="dxa"/>
            <w:gridSpan w:val="3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igen </w:t>
            </w:r>
            <w:r w:rsidRPr="00234BD1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nem</w:t>
            </w:r>
          </w:p>
        </w:tc>
      </w:tr>
      <w:tr w:rsidR="00493F73" w:rsidRPr="00234BD1" w:rsidTr="007B4A28">
        <w:tc>
          <w:tcPr>
            <w:tcW w:w="9785" w:type="dxa"/>
            <w:gridSpan w:val="4"/>
          </w:tcPr>
          <w:p w:rsidR="00493F73" w:rsidRPr="00234BD1" w:rsidRDefault="00493F73" w:rsidP="007B4A28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3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.4)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díj</w:t>
            </w:r>
            <w:r w:rsidR="00DA4B93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(</w:t>
            </w:r>
            <w:proofErr w:type="spellStart"/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ak</w:t>
            </w:r>
            <w:proofErr w:type="spellEnd"/>
            <w:r w:rsidR="00DA4B93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)</w:t>
            </w:r>
            <w:r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értéke </w:t>
            </w:r>
            <w:r w:rsidRPr="00493F73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2</w:t>
            </w:r>
          </w:p>
          <w:p w:rsidR="00493F73" w:rsidRPr="00234BD1" w:rsidRDefault="00493F73" w:rsidP="00493F7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z odaítélt </w:t>
            </w:r>
            <w:proofErr w:type="gramStart"/>
            <w:r>
              <w:rPr>
                <w:rFonts w:eastAsia="MyriadPro-Light"/>
                <w:sz w:val="18"/>
                <w:szCs w:val="18"/>
                <w:lang w:eastAsia="hu-HU"/>
              </w:rPr>
              <w:t>díj(</w:t>
            </w:r>
            <w:proofErr w:type="spellStart"/>
            <w:proofErr w:type="gramEnd"/>
            <w:r>
              <w:rPr>
                <w:rFonts w:eastAsia="MyriadPro-Light"/>
                <w:sz w:val="18"/>
                <w:szCs w:val="18"/>
                <w:lang w:eastAsia="hu-HU"/>
              </w:rPr>
              <w:t>ak</w:t>
            </w:r>
            <w:proofErr w:type="spellEnd"/>
            <w:r>
              <w:rPr>
                <w:rFonts w:eastAsia="MyriadPro-Light"/>
                <w:sz w:val="18"/>
                <w:szCs w:val="18"/>
                <w:lang w:eastAsia="hu-HU"/>
              </w:rPr>
              <w:t>) értéke áfa nélkül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r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Pénznem: [ ][ ][ ]</w:t>
            </w:r>
          </w:p>
          <w:p w:rsidR="00493F73" w:rsidRPr="00234BD1" w:rsidRDefault="00493F73" w:rsidP="007B4A28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3F73" w:rsidRDefault="00493F73" w:rsidP="0090165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FA2E1F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137F25" w:rsidRPr="00E8260C" w:rsidRDefault="00137F25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137F25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7</w:t>
      </w:r>
      <w:r w:rsidRPr="00137F25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ab/>
      </w:r>
      <w:r w:rsidRPr="00137F25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6360F1" w:rsidRPr="008546EA" w:rsidRDefault="006360F1" w:rsidP="006360F1">
      <w:pPr>
        <w:spacing w:before="120" w:after="120"/>
        <w:rPr>
          <w:rFonts w:eastAsia="MyriadPro-Semibold"/>
          <w:sz w:val="18"/>
          <w:szCs w:val="18"/>
          <w:lang w:eastAsia="hu-HU"/>
        </w:rPr>
      </w:pPr>
    </w:p>
    <w:sectPr w:rsidR="006360F1" w:rsidRPr="008546EA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48" w:rsidRDefault="009F7648" w:rsidP="00FA2E1F">
      <w:r>
        <w:separator/>
      </w:r>
    </w:p>
  </w:endnote>
  <w:endnote w:type="continuationSeparator" w:id="0">
    <w:p w:rsidR="009F7648" w:rsidRDefault="009F7648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48" w:rsidRDefault="009F7648" w:rsidP="00FA2E1F">
      <w:r>
        <w:separator/>
      </w:r>
    </w:p>
  </w:footnote>
  <w:footnote w:type="continuationSeparator" w:id="0">
    <w:p w:rsidR="009F7648" w:rsidRDefault="009F7648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26D98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37F25"/>
    <w:rsid w:val="00161F8D"/>
    <w:rsid w:val="00162F81"/>
    <w:rsid w:val="00173713"/>
    <w:rsid w:val="0018117E"/>
    <w:rsid w:val="0018196A"/>
    <w:rsid w:val="001840EA"/>
    <w:rsid w:val="001977C3"/>
    <w:rsid w:val="001F2F7E"/>
    <w:rsid w:val="00236F97"/>
    <w:rsid w:val="002670BE"/>
    <w:rsid w:val="002D0689"/>
    <w:rsid w:val="00336A1A"/>
    <w:rsid w:val="00365CA0"/>
    <w:rsid w:val="00380BD2"/>
    <w:rsid w:val="00384EC1"/>
    <w:rsid w:val="003C78F7"/>
    <w:rsid w:val="00402483"/>
    <w:rsid w:val="004027A2"/>
    <w:rsid w:val="00425398"/>
    <w:rsid w:val="00493F73"/>
    <w:rsid w:val="004A7664"/>
    <w:rsid w:val="004B4552"/>
    <w:rsid w:val="004C642A"/>
    <w:rsid w:val="00506BAF"/>
    <w:rsid w:val="00520044"/>
    <w:rsid w:val="00527D40"/>
    <w:rsid w:val="00535753"/>
    <w:rsid w:val="005530A2"/>
    <w:rsid w:val="005878C9"/>
    <w:rsid w:val="005F4540"/>
    <w:rsid w:val="006360F1"/>
    <w:rsid w:val="00643D01"/>
    <w:rsid w:val="006512C7"/>
    <w:rsid w:val="006810A5"/>
    <w:rsid w:val="006C5293"/>
    <w:rsid w:val="006C7256"/>
    <w:rsid w:val="006F548E"/>
    <w:rsid w:val="00707D70"/>
    <w:rsid w:val="0073308F"/>
    <w:rsid w:val="00737F99"/>
    <w:rsid w:val="007415BD"/>
    <w:rsid w:val="00745F8D"/>
    <w:rsid w:val="00787614"/>
    <w:rsid w:val="007C3BEC"/>
    <w:rsid w:val="007F269F"/>
    <w:rsid w:val="008546EA"/>
    <w:rsid w:val="00864C0C"/>
    <w:rsid w:val="00895BDF"/>
    <w:rsid w:val="008E789B"/>
    <w:rsid w:val="008F001A"/>
    <w:rsid w:val="008F1AEF"/>
    <w:rsid w:val="0090165F"/>
    <w:rsid w:val="009168E8"/>
    <w:rsid w:val="00933467"/>
    <w:rsid w:val="0093398C"/>
    <w:rsid w:val="009524A4"/>
    <w:rsid w:val="00962C43"/>
    <w:rsid w:val="0097214E"/>
    <w:rsid w:val="009C2677"/>
    <w:rsid w:val="009D0FC3"/>
    <w:rsid w:val="009D5AC0"/>
    <w:rsid w:val="009F7648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E1152"/>
    <w:rsid w:val="00AE5FB5"/>
    <w:rsid w:val="00AF4AF4"/>
    <w:rsid w:val="00B01F5C"/>
    <w:rsid w:val="00B17D92"/>
    <w:rsid w:val="00B26A6A"/>
    <w:rsid w:val="00B3410C"/>
    <w:rsid w:val="00B556C7"/>
    <w:rsid w:val="00BF0B81"/>
    <w:rsid w:val="00C11EEB"/>
    <w:rsid w:val="00C121B5"/>
    <w:rsid w:val="00C87922"/>
    <w:rsid w:val="00CE6D21"/>
    <w:rsid w:val="00D41E09"/>
    <w:rsid w:val="00D821DA"/>
    <w:rsid w:val="00D9687F"/>
    <w:rsid w:val="00DA4B93"/>
    <w:rsid w:val="00DB211A"/>
    <w:rsid w:val="00DC43D0"/>
    <w:rsid w:val="00DF5088"/>
    <w:rsid w:val="00E17496"/>
    <w:rsid w:val="00E43CD6"/>
    <w:rsid w:val="00E57BA6"/>
    <w:rsid w:val="00E76054"/>
    <w:rsid w:val="00E8260C"/>
    <w:rsid w:val="00E856FD"/>
    <w:rsid w:val="00EB35D1"/>
    <w:rsid w:val="00EE3111"/>
    <w:rsid w:val="00F6166D"/>
    <w:rsid w:val="00F636B9"/>
    <w:rsid w:val="00F64EB3"/>
    <w:rsid w:val="00F91098"/>
    <w:rsid w:val="00F97457"/>
    <w:rsid w:val="00FA2E1F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60">
    <w:name w:val="Szövegtörzs6"/>
    <w:basedOn w:val="Szvegtrzs"/>
    <w:rsid w:val="0090165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493F73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655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10</cp:revision>
  <dcterms:created xsi:type="dcterms:W3CDTF">2015-11-18T14:46:00Z</dcterms:created>
  <dcterms:modified xsi:type="dcterms:W3CDTF">2015-11-30T10:37:00Z</dcterms:modified>
</cp:coreProperties>
</file>